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51" w:rsidRPr="00CA563A" w:rsidRDefault="001D5E51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  <w:r w:rsidRPr="00CA563A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</w:t>
      </w: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 xml:space="preserve">ตารางสรุปมาตรการสุขอนามัยและสุขอนามัยพืช </w:t>
      </w:r>
      <w:r w:rsidRPr="00CA563A">
        <w:rPr>
          <w:rFonts w:ascii="TH Baijam" w:eastAsia="TH SarabunPSK" w:hAnsi="TH Baijam" w:cs="TH Baijam"/>
          <w:b/>
          <w:color w:val="000000"/>
          <w:sz w:val="28"/>
          <w:szCs w:val="28"/>
        </w:rPr>
        <w:t>(SPS Notification)</w:t>
      </w:r>
    </w:p>
    <w:p w:rsidR="001D5E51" w:rsidRPr="00CA563A" w:rsidRDefault="001D5E51" w:rsidP="00B11EF9">
      <w:pPr>
        <w:jc w:val="center"/>
        <w:rPr>
          <w:rFonts w:ascii="TH Baijam" w:eastAsia="TH SarabunPSK" w:hAnsi="TH Baijam" w:cs="TH Baijam"/>
          <w:b/>
          <w:bCs/>
          <w:color w:val="000000"/>
          <w:sz w:val="28"/>
          <w:szCs w:val="28"/>
        </w:rPr>
      </w:pP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ประจำวันที่</w:t>
      </w:r>
      <w:r w:rsidRPr="00CA563A">
        <w:rPr>
          <w:rFonts w:ascii="TH Baijam" w:eastAsia="TH SarabunPSK" w:hAnsi="TH Baijam" w:cs="TH Baijam"/>
          <w:b/>
          <w:bCs/>
          <w:color w:val="000000"/>
          <w:sz w:val="28"/>
          <w:szCs w:val="28"/>
        </w:rPr>
        <w:t xml:space="preserve"> </w:t>
      </w:r>
      <w:r w:rsidRPr="00BB2F41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 xml:space="preserve">1 - 15 </w:t>
      </w:r>
      <w:r w:rsidRPr="00BB2F41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  <w:cs/>
        </w:rPr>
        <w:t xml:space="preserve">พฤษภาคม </w:t>
      </w:r>
      <w:r w:rsidRPr="00BB2F41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>2566</w:t>
      </w:r>
    </w:p>
    <w:p w:rsidR="001D5E51" w:rsidRPr="00CA563A" w:rsidRDefault="001D5E51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</w:p>
    <w:tbl>
      <w:tblPr>
        <w:tblW w:w="15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06"/>
        <w:gridCol w:w="2091"/>
        <w:gridCol w:w="4713"/>
        <w:gridCol w:w="1417"/>
        <w:gridCol w:w="1163"/>
        <w:gridCol w:w="1417"/>
        <w:gridCol w:w="1417"/>
      </w:tblGrid>
      <w:tr w:rsidR="001D5E51" w:rsidRPr="00CA563A" w:rsidTr="00A064C6">
        <w:trPr>
          <w:trHeight w:val="1160"/>
          <w:tblHeader/>
          <w:jc w:val="center"/>
        </w:trPr>
        <w:tc>
          <w:tcPr>
            <w:tcW w:w="568" w:type="dxa"/>
            <w:vAlign w:val="center"/>
          </w:tcPr>
          <w:p w:rsidR="001D5E51" w:rsidRPr="00CA563A" w:rsidRDefault="001D5E5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1D5E51" w:rsidRPr="00CA563A" w:rsidRDefault="001D5E51">
            <w:pPr>
              <w:jc w:val="center"/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ประเทศที่แจ้ง              </w:t>
            </w:r>
          </w:p>
          <w:p w:rsidR="001D5E51" w:rsidRPr="00CA563A" w:rsidRDefault="001D5E5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หมายเลข 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Notification</w:t>
            </w:r>
          </w:p>
          <w:p w:rsidR="001D5E51" w:rsidRPr="00CA563A" w:rsidRDefault="001D5E5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วันที่ 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 xml:space="preserve">WTO </w:t>
            </w: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แจ้งเวียน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D5E51" w:rsidRPr="00CA563A" w:rsidRDefault="001D5E5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สินค้า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</w:p>
          <w:p w:rsidR="001D5E51" w:rsidRPr="00CA563A" w:rsidRDefault="001D5E5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1D5E51" w:rsidRPr="00CA563A" w:rsidRDefault="001D5E5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สาระสำคัญ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5E51" w:rsidRPr="00CA563A" w:rsidRDefault="001D5E5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ประเทศที่ได้รับผลกระทบ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D5E51" w:rsidRPr="00CA563A" w:rsidRDefault="001D5E5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วันสุดท้ายที่แสดงความเห็น</w:t>
            </w:r>
            <w:r w:rsidRPr="00CA563A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คัดค้าน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5E51" w:rsidRPr="00CA563A" w:rsidRDefault="001D5E5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วันที่มี                       ผลบังคับใช้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5E51" w:rsidRPr="00CA563A" w:rsidRDefault="001D5E51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CA563A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จุดประสงค์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AF08F6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G/SPS/N/ARG/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262</w:t>
            </w:r>
          </w:p>
          <w:p w:rsidR="001D5E51" w:rsidRPr="003B76ED" w:rsidRDefault="001D5E51">
            <w:pPr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เมษายน 2566</w:t>
            </w:r>
          </w:p>
        </w:tc>
        <w:tc>
          <w:tcPr>
            <w:tcW w:w="2091" w:type="dxa"/>
          </w:tcPr>
          <w:p w:rsidR="001D5E51" w:rsidRPr="00CA563A" w:rsidRDefault="001D5E5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เมล็ดกัญชง (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Cannabis sativa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  <w:p w:rsidR="001D5E51" w:rsidRPr="00CA563A" w:rsidRDefault="001D5E51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ข้อกำหนดด้านสุขอนามัยพืชสำหรับการนำเข้าเมล็ดกัญชง (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Cannabis sativa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เพื่อเพาะปลูกที่นำเข้าจากบัลแกเรีย</w:t>
            </w:r>
          </w:p>
          <w:p w:rsidR="001D5E51" w:rsidRPr="00CA563A" w:rsidRDefault="001D5E51" w:rsidP="0036481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481F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SPS/ARG/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9245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417" w:type="dxa"/>
          </w:tcPr>
          <w:p w:rsidR="001D5E51" w:rsidRPr="00CA563A" w:rsidRDefault="001D5E5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บัลแกเรีย</w:t>
            </w:r>
          </w:p>
        </w:tc>
        <w:tc>
          <w:tcPr>
            <w:tcW w:w="1163" w:type="dxa"/>
          </w:tcPr>
          <w:p w:rsidR="001D5E51" w:rsidRPr="00CA563A" w:rsidRDefault="001D5E5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อาร์เมเนีย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G/SPS/N/ARM/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48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สินค้าพืช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การใช้ระบบการประเมินความเสี่ยงด้านสุขอนามัยพืชในการเลือกขั้นตอนการควบคุมสำหรับการควบคุมสุขอนามัยพืชกักกัน รวมถึงการตัดสินใจแบบเดียวกันเกี่ยวกับชุดผลิตภัณฑ์ภายใต้การควบคุมสุขอนามัยพืช หากมีความคลาดเคลื่อนระหว่างใบรับรองสุขอนามัยพืชและเอกสารการขนส่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ง และหากตรวจพบสิ่งมีชีวิตกักกัน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https://docs.eaeunion.org/ria/ru-ru/0115932/ria_17042023_doc.pdf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G/SPS/N/AUS/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564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ไข่่ ไข่แดง และผงไข่ขาว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ทบทวนเงื่อนไขการนำเข้า ไข่ ไข่แดง และผงไ่ข่ขาว โดยเสนอมาตรการจัดการความเสี่ยงทางเลือก ดังนี้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ไข และไข่แดง โดยวิธีการ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heat treatment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ที่อุณหภูมิขั้นต่ำ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65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องศาเซลเซียส เป็นเวลา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นาที 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ผงไข่ขาว โดยวิธีการ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Heat treatment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ที่อุณหภูมิขั้นต่ำ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65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องศาเซลเซียส เป็นเวลา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วัน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https://www.agriculture.gov.au/biosecurity-trade/policy/risk-analysis/animal/egg-powder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2089/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จัดทำการปรับปรุงข้อความในร่างกฎระเบียบ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เลขที่ 1120 จากคำว่า "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87: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Capsicum annuum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"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เป็นคำว่า "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86: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Capsicum annuum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"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https://www.in.gov.br/en/web/dou/-/retificacao-480549788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2129/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ประกาศบังคับใช้ร่างกฎระเบียบระบุถึงการเพิ่มรายการย่อย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27.5 - 2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D-DIETHANOLAMINE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27 - 2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,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4-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ในภาคผนวกของรายการวัตถุออกฤทธิ์ที่ได้รับอนุญาตให้ใช้เป็นผลิตภัณฑ์กำจัดศัตรูพืช ผลิตภัณฑ์ทำความสะอาดครัวเรือน และผลิตภัณฑ์รักษาเนื้อไม้ตามที่กำหนดในกฎระเบียบ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เลขที่ 103 ลงวันที่ 19 ต.ค. 64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http://antigo.anvisa.gov.br/documents/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10181/6534413/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IN_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222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_.pdf/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310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ab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0-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211-4201-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94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f-ae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abbe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0625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2152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ประกาศให้สารสกัด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HYDROALCOHOLIC  EXTRACT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จากสะเดา เป็นสารกำจัดศัตรูพืชออกฤทธิ์ สำหรับฆ่าเชื้อและรักษาเนื้อไม้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http://antigo.anvisa.gov.br/documents/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10181/6576374/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CONSULTA+P%C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3%9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ABLICA+N+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1153+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GGTOX.pdf/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be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172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1-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02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a-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4220-9605-869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be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0309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2153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ต้นไชพว์ (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Allium fistulosum)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ร่างข้อกำหนดสุขอนามัยพืชสำหรับนำเข้าต้นไชพว์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Allium fistulosum) 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ที่ปลูกในเอกวาดอร์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SPS/BRA/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09395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เอกวาดอร์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2154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หมายเลข 1155 ลงวันที่ 6 เม.ย. 66 ระบุถึงการเพิ่มสารออกฤทธิ์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71: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PYRIOPHENONE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ในรายการสารออกฤทธิ์สำหรับสารกำจัดศัตรูพืช ผลิตภัณฑ์ทำความสะอาดในครัวเรือน และผลิตภัณฑ์รักษาเนื้อไม้ ตามประกาศ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หมายเลข 103 ลงวันที่ 19 ต.ค. 64 ใน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http://antigo.anvisa.gov.br/documents/10181/6576416/CONSULTA+P%C3%9ABLICA+N+1155+GGTOX.pdf/007b8ef9-cb63-4393-a4cf-fbc6bf4861a3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2155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หมายเลข 1154 ลงวันที่ 6 เม.ย. 66 ระบุถึงการเพิ่มสารออกฤทธิ์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32 -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ISOCYCLOSERAM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ในรายการสารออกฤทธิ์สำหรับสารกำจัดศัตรูพืช ผลิตภัณฑ์ทำความสะอาดในครัวเรือน และผลิตภัณฑ์รักษาเนื้อไม้ ตามประกาศ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หมายเลข 103 ลงวันที่ 19 ต.ค. 64 ใน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http://antigo.anvisa.gov.br/documents/10181/6576396/CONSULTA+P%C3%9ABLICA+N+1154+GGTOX.pdf/94d942a2-41b4-47f9-9f00-9ca62137e714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2156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หมายเลข 1156 ลงวันที่ 6 เม.ย. 66 ระบุถึงการเพิ่มสารออกฤทธิ์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45 -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TIAZOPIR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ในรายการสารออกฤทธิ์สำหรับสารกำจัดศัตรูพืช ผลิตภัณฑ์ทำความสะอาดในครัวเรือน และผลิตภัณฑ์รักษาเนื้อไม้ ตามประกาศ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หมายเลข 103 ลงวันที่ 19 ต.ค. 64 ใน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http://antigo.anvisa.gov.br/documents/10181/6576416/CONSULTA+P%C3%9ABLICA+N+1156+GGTOX.pdf/7b7305bb-ba47-4603-8b0f-0611d26f32d3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2157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หมายเลข 1157 ลงวันที่ 6 เม.ย. 66 ระบุถึงการเพิ่มและปรับปรุงข้อกำหนดของสารออกฤทธิ์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41 -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Boscalid,  C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07 -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Kasugamycin,  C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Cypermethrin,  C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18 -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Chlorothalonil,  C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25 -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Cartap Hydrochloride,  C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32 -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Clethodim,  C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55 -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Copper-Based  Compounds,  C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63 -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Lambda-Cyhalothrin,  D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06 -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Deltamethrin,  D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21 -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Diquat,  G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05 -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Ammonium  Glufosinate,  H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07 -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Methyl   Haloxyfop-P,   I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12 -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Imazapyr,   I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Imazapik,   I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30 -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Impirfluxam,   M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45 -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Mandipropamide,  O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21 -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Oxathiapiproline,  P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23 -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Propamocarb,  S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13 -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S-Metolachlor,  T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14 -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Methyl Thiophanate, T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48 -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Thiamethoxam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ในรายการสารออกฤทธิ์สำหรับสารกำจัดศัตรูพืช ผลิตภัณฑ์ทำความสะอาดในครัวเรือน และผลิตภัณฑ์รักษาเนื้อไม้ ตามประกาศ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หมายเลข 103 ลงวันที่ 19 ต.ค. 64 ใน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http://antigo.anvisa.gov.br/documents/10181/6576456/CONSULTA+P%C3%9ABLICA+N+1157+GGTOX.pdf/8d658941-dff2-47e9-b437-e4fa7f5c0d6d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2158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อาหารใหม่ (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Novel Food)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เลขที่ 1158 ลงวันที่ 24 เม.ย. 66 ว่าด้วยข้อกำหนดด้านความปลอดภัยและการให้อนุญาตอาหารใหม่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Novel Food)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และวัตถุดิบใหม่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Novel Ingredent)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ประกาศฉบับนี้มีการประกาศตามกรอบ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http://antigo.anvisa.gov.br/documents/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10181/6582266/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CONSULTA+PUBLICA+N+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1158+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GGALI.pdf/ab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969721-11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ed-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420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d-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97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bb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488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ef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821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ก.ค. 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2159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หมายเลข 1159 ลงวันที่ 27 เม.ย. 66 ระบุถึงปรับปรุงข้อกำหนดของสารออกฤทธิ์ 17 –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DIFLUBENZURON, F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23.1 –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FLUASIFOP-P-BUTYL, F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71 –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FLORPIRAUXIPHEN BENZYL, G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 –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GLYPHOSATE, I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30 –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IMPIRFLUXAM, M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33 –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METAMMITRON, M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35 –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METHYLCYCLOPROPENE, P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43 –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PYRIMETANIL, T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54 –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TRIFLOXYSTROBIN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ที่ปรากฎในรายการสารออกฤทธิ์สำหรับสารกำจัดศัตรูพืช </w:t>
            </w:r>
            <w:r w:rsidRPr="001D5E51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ผลิตภัณฑ์ทำความสะอาดในครัวเรือน และผลิตภัณฑ์รักษาเนื้อไม้ ตามประกาศ </w:t>
            </w:r>
            <w:r w:rsidRPr="001D5E51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Normative Instruction </w:t>
            </w:r>
            <w:r w:rsidRPr="001D5E51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หมายเลข 103 ลงวันที่ 19 ต.ค. 64 ใน </w:t>
            </w:r>
            <w:r w:rsidRPr="001D5E51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>DOU (Diário Oficial da União)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http://antigo.anvisa.gov.br/documents/10181/6584902/consulta_publica_1159_2023+GGTOX.pdf/16a4e08d-8006-4f2b-b442-391d3176c9ab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G/SPS/N/BRA/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2160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หมายเลข 1156 ลงวันที่ 6 เม.ย. 66 ระบุถึงการเพิ่มสารออกฤทธิ์ (จุลินทรีย์)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75 -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Trichoderma  reesei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ในรายการสารออกฤทธิ์สำหรับสารกำจัดศัตรูพืช ผลิตภัณฑ์ทำความสะอาดในครัวเรือน และผลิตภัณฑ์รักษาเนื้อไม้ ตามประกาศ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Normative Instruction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หมายเลข 103 ลงวันที่ 19 ต.ค. 64 ใน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DOU (Diário Oficial da União)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http://antigo.anvisa.gov.br/documents/10181/6584877/consulta_publica_1160_2023+GGTOX.pdf/dffdc414-f6de-4e80-a723-e7edef2d83d9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1427/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CA563A" w:rsidRDefault="001D5E51" w:rsidP="001D5E5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แก้ไขการกำหนดค่า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Pyraziflumid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ในสินค้าเกษตรจากเดิม กำหนดค่า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ในสินค้าเกษตร 6 รายการ โดยแก้ไขให้มีการกำหนดค่า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ในแอปเปิลเท่านั้น ที่ 0.4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14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1470/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ประกาศการบังคับใช้ค่า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Sodium acifluorfen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ในแครอทที่ 0.06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ในฐานข้อมูลด้าน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ของแคนาดา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https://pest-control.canada.ca/pesticide-registry/en/mrl-search.html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19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1471/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Spiropidion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ในสินค้าดังต่อไปนี้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มะเขือเทศแห้ง ที่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7 ppm 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มันฝรั่งแผ่น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Potato flakes)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5 ppm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ถั่วเหลืองแห้งที่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3 ppm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มันฝรั่ง / มะเขือเทศบด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Potatoes, tomato paste)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1.5 ppm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พริกหยวก และพริกอื่นๆ ที่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1.0 ppm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แคนตาลุป เมล่อน  แตงโม ฟักทอง และพืชในกลุ่มเดียวกัน ที่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0.9 ppm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7.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แตงกวา มะเขือเทศ ที่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0.8 ppm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ในฐานข้อมูลด้าน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ของแคนาดา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https://pest-control.canada.ca/pesticide-registry/en/mrl-search.html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19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1473/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Fluopyram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สำหรับดอกกระเทียม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Serpent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15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ในฐานข้อมูลด้าน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ของแคนาดา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https://pest-control.canada.ca/pesticide-registry/en/mrl-search.html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1474/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ประกาศการบังคับใช้ค่า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Clethodim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 ดังนี้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Napa Chinese cabbages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 ppm 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Green onions (crop subgroup 3-07B)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 ppm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Leaf petioles vegetables (crop subgroup 22B)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0.6 ppm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 Buckwheat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0.3 ppm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5. Celeriac tops, rutabaga tops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0.09 ppm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ในฐานข้อมูลด้าน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ของแคนาดา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https://pest-control.canada.ca/pesticide-registry/en/mrl-search.html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1475/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Pyriproxyfen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ในกล้วยที่ 0.02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https://www.canada.ca/en/health-canada/services/consumer-product-safety/pesticides-pest-management/public/protecting-your-health-environment/pesticides-food/residue-chemistry-crop-groups.html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1476/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ประกาศบังคับใช้การกำหนดค่า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Fluazinam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ในองุ่นที่ 3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และในผักกลุ่มฟักทอง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Cucurbit vegetables (crop group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9)) ที่ 0.07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https://www.canada.ca/en/health-canada/services/consumer-product-safety/pesticides-pest-management/public/protecting-your-health-environment/pesticides-food/residue-chemistry-crop-groups.html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1498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พฤษภาคม 2566</w:t>
            </w:r>
          </w:p>
        </w:tc>
        <w:tc>
          <w:tcPr>
            <w:tcW w:w="2091" w:type="dxa"/>
          </w:tcPr>
          <w:p w:rsidR="001D5E51" w:rsidRPr="00BB2F41" w:rsidRDefault="001D5E51" w:rsidP="005D7FB3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ชิ้นส่วนเพื่อการขยายพันธุ์ของพืช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 xml:space="preserve">Chaenomeles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spp.,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Cydonia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 spp. (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รวมถึง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Pseudocydonia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),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Malus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 spp.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 xml:space="preserve">Pyrus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spp.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สินค้าควบคุม ประกอบด้วย พืชที่มีรากและตัดรากเพื่อการเพาะปลูก เมล็ดพันธุ์ เกสร และกิ่งไม้สดเพื่อการตกแต่งและดอกไม้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จัดทำข้อกำหนดด้านสุขอนามัยพืช ดังนี้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เอกสารหมายเลข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D-22-01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เรื่อง ข้อกำหนดด้านสุขอนามัยพืชสำหรับการนำเข้าชิ้นส่วนพืชสายพันธุ์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Chaenomeles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spp.,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 xml:space="preserve">Cydonia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spp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., Malus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spp.,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Prunus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Pyrus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เพื่อการขยายพันธุ์หรือใช้เพื่อการตกแต่งแบบกิ่งไม้ตัดสด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เอกสารหมายเลข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D-22-02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เรื่อง ข้อกำหนดด้านสุขอนามัยพืชสำหรับการเคลื่อนย้ายภายในประเทศสำหรับชิ้นส่วนพืชสกุลพรุน (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Prunus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spp.)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เพื่อป้องกันการแพร่ระบาดของศัตรูพืช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Plum Pox Virus (PPV)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ภายในแคนาดา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https://members.wto.org/crnattachments/2023/SPS/CAN/23_9373_00_e.pdf 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https://members.wto.org/crnattachments/2023/SPS/CAN/23_9373_01_e.pdf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ก.พ.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1499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จัดทำเอกสาร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PMRL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2023-21 ระบุถึงการกำหนดค่า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Clopyralid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ในสินค้าเกษตรดังนี้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หัวหอม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Bulb onions (crop subgroup 3-07A))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0.4 ppm.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Bushberries (crop subgroup 13-07B)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0.1 ppm.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blueberry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ปัจจุบันที่กำหนดไว้ที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0.1 ppm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จะยกเลิกไป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expire)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และให้ไปใช้ค่า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ที่กำหนดในสินค้า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Bushberries (crop subgroup 13-07B)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แทน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https://www.canada.ca/en/health-canada/services/consumer-product-safety/pesticides-pest-management/public/protecting-your-health-environment/pesticides-food/residue-chemistry-crop-groups.html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1500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CA563A" w:rsidRDefault="001D5E51" w:rsidP="001D5E5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สำหรับสาร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mandestrobin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Leaf lettuce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4.0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ppm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Head lettuce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0.08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ประเทศคูู่ค้า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1501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Pydiflumentofen (PMRL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2023-23) ในเครนเบอร์รี่ที่ 5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https://www.canada.ca/en/health-canada/services/consumer-product-safety/pesticides-pest-management/public/protecting-your-health-environment/pesticides-food/residue-chemistry-crop-groups.html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1502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อาหารเสริม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CA563A" w:rsidRDefault="001D5E51" w:rsidP="001D5E5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ประกาศอนุญาตให้สาร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L-alpha-glycerylphosphorylcholine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สามารถใช้เป็นส่วนผสมในอาหาร เพื่อใช้เป็นแหล่งของโคลีน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ก.ค. 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1503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จัดทำการปรับปรุงรายการเอ็นไซม์ที่ได้รับอนุญาตให้ใช้ในอาหารของแคนาดาเพื่ออนุญาตให้ใช้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alpha-amylase  (</w:t>
            </w:r>
            <w:r w:rsidRPr="00BB2F41">
              <w:rPr>
                <w:rFonts w:ascii="Cambria" w:eastAsia="TH SarabunPSK" w:hAnsi="Cambria" w:cs="Cambria"/>
                <w:noProof/>
                <w:sz w:val="28"/>
                <w:szCs w:val="28"/>
              </w:rPr>
              <w:t>α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-</w:t>
            </w:r>
            <w:r w:rsidRPr="001D5E51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</w:rPr>
              <w:t xml:space="preserve">amylase) </w:t>
            </w:r>
            <w:r w:rsidRPr="001D5E51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 xml:space="preserve">ที่ผลิตจากแบคทีเรีย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pacing w:val="-8"/>
                <w:sz w:val="28"/>
                <w:szCs w:val="28"/>
              </w:rPr>
              <w:t>Bacillus subtilis</w:t>
            </w:r>
            <w:r w:rsidRPr="001D5E51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</w:rPr>
              <w:t xml:space="preserve"> </w:t>
            </w:r>
            <w:r w:rsidRPr="001D5E51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>สายพันธุ์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AR-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651 ในแป้งทำขนมปัง แป้งโฮวีท และผลิตภัณฑ์เบอร์เกอร์รีที่ไม่ได้กำหนดมาตรฐานไว้เฉพาะ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Unstandardized bakery products)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https://members.wto.org/crnattachments/2023/SPS/CAN/23_09419_00_e.pdf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1504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จัดทำเอกสาร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PMRL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2023-24 ระบุถึงการกำหนดค่า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Sedaxane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ในถั่ว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Edible-podded  legume  vegetables (crop subgroup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succulent shelledpea and bean (crop subgroup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B))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0.01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https://www.canada.ca/en/health-canada/services/consumer-product-safety/pesticides-pest-management/public/consultations/proposed-maximum-residue-limit/2023/sedaxane/document.html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แคนาดา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G/SPS/N/CAN/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1505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จัดทำเอกสาร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PMRL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2023-25 ระบุถึงการกำหนดค่า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Fludioxonil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ในถั่วพุ่ม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Succulent shelled cowpeas)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0.01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https://www.canada.ca/en/health-canada/services/consumer-product-safety/pesticides-pest-management/public/consultations/proposed-maximum-residue-limit/2023/fludioxonil/document.html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18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ชิลี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737/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1 และ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G/SPS/N/CHL/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737/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อาหารสัตว์และเมล็ดหญ้า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ประกาศวันบังคับใช้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Exempt Resolution No.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2237/2023 ระบุถึงข้อกำหนดด้านสุขอนามัยพืชสำหรับการนำเข้าอาหารสัตว์และเมล็ดหญ้า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forage and grass seeds)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ปรับปรุงข้อกำหนดและวิธีการทรีตเมนท์ให้ทันสมัย และยกเลิก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Resolutions No.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1.011 ประจำปี 2547 และ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909 ประจำปี 2547 โดยประกาศใน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Official Journal (OJ)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เมื่อวันที่ 24 เม.ย. 66 และจะมีผลบังคับใช้ภายหลัง 30 วัน นับจากวันถัดจากวันประกาศใน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OJ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https://members.wto.org/crnattachments/2023/SPS/CHL/23_9351_00_s.pdf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โคลอมเบีย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G/SPS/N/COL/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346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เมล็ดพันธุ์ที่ผ่านการปรับปรุงพันธุกรรม (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genetically improved seeds)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จัดทำกฎระเบียบว่าด้วยการควบคุมการผลิต การนำเข้า การส่งออก และการเก็บรักษาเมล็ดพันธุ์ที่ผ่านการปรับปรุงพันธุกรรม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genetically improved seeds)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เพื่อการค้าและการเพาะปลูก รวมถึงการขึ้นทะเบียนหน่วยตรวจประเมินด้านการเกษตร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agronomic assessment units)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และ/หรือ หน่วยวิจัยด้านปรับปรุงพันธุ์พืช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plant  breeding research units)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https://members.wto.org/crnattachments/2023/SPS/COL/23_9352_00_s.pdf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634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1D5E51" w:rsidRDefault="001D5E51" w:rsidP="00366D9B">
            <w:pPr>
              <w:rPr>
                <w:rFonts w:ascii="TH Baijam" w:eastAsia="TH SarabunPSK" w:hAnsi="TH Baijam" w:cs="TH Baijam"/>
                <w:i/>
                <w:iCs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พืชอาศัยชองแบคทีเรียศัตรูพืช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Xylella fastidiosa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/>
                <w:i/>
                <w:iCs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จัดทำการปรับปรุงฐานข้อมูลรายการพืชอาศัยชองแบคทีเรียศัตรูพืช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Xylella fastidiosa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https://members.wto.org/crnattachments/2023/SPS/EEC/23_09385_00_e.pdf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https://members.wto.org/crnattachments/2023/SPS/EEC/23_09385_01_e.pdf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G/SPS/N/EU/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635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จัดทำกฎระเบียบของสหภาพยุโรปว่าด้วยค่าการปนเปื้อนสูงสุดในอาหารบางประเภท และมีผลเป็นการยกเลิกกฎระเบียบ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EC)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เลขที่ 1881/2006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SPS/EEC/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09539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26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G/SPS/N/GBR/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32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สัตว์และพืชที่ได้จากการปรับปรุงพันธุ์แบบแม่นยำ (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Precision Breeding)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ประกาศจัดทำพระราชบัญญัติว่าด้วยข้อกำหนดด้านพันธุวิศวกรรม เรื่อง การปรับปรุงพันธุ์แบบแม่นยำ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Precision Breeding)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ัตถุประสงค์ขั้นต้นเพื่อจัดทำกรอบการดำเนินงานสำหรับกฎระเบียบใหม่ที่ได้สัดส่วนและเหมาะสมสำหรับพืชและสัตว์ที่ผลิตด้วยวิธีการทางเทคโนโลยีชีวภาพแบบใหม่ ซึ่งเป็นผลมาจากการปรับปรุงพันธุ์แบบดั้งเดิม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Traditional breeding)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หรือกระบวนการทางธรรมชาติ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Precision bred plants and animals)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และผลิตภัณฑ์อาหารและอาหารสัตว์ที่ผลิตจากวิธีการดังกล่าว มีผลครบคลุมเฉพาะสหราชอาณาจักรเท่านั้น แต่อย่างไรก็ตาม ผลการดำเนินงานของกฎหมายสหราชอาณาจักร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United Kingdom Internal Market Act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2020) ที่ผลิตภายในหรือ</w:t>
            </w:r>
            <w:r w:rsidRPr="001D5E51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นำเข้ามายังสหราชอาณาจักร สามารถวางจำหน่ายในสก็อตแลนด์และเวลส์ ตามข้อตกลงเฉพา</w:t>
            </w:r>
            <w:r w:rsidRPr="001D5E51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>t</w:t>
            </w:r>
            <w:r w:rsidRPr="001D5E51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>ที่ใช้กับไอร์แลนด์เหนือ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วัตถุประสงค์หลักสำหรับกฎหมายฉบับนี้ คือ 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1.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แนวทางเพื่อเปิดช่องทางการกฎหมายให้สามารถให้อนุญาตผลิตภัณฑ์อาหารและอาหารสัตว์ที่ผลิตจากสัตว์และพืชที่ได้จากการปรับปรุงพันธุ์แบบปรานีต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นำรายการสัตว์และพืชที่ได้จากกระบวนการดังกล่าว ออกจากข้อกำหนดด้านการจำหน่าย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GMOs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และข้อกำหนดด้านการปล่อยสิ่งมีชีวิตดังกล่าว โดยจะอนุญาตให้พืชและตามด้วยสัตว์ในภายหลัง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จัดทำระบบการแจ้งเตือนสำหรับผู้พัฒนาผลิตภัณฑ์เกี่ยวกับการปล่อย / การจำหน่ายสิ่งมีชีวิตที่ได้จากการปรับปรุงพันธุ์แบบปรานีต ทั้งเพื่อการวิจัยและการตลาด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แนวทางการกำกับดูและสัตว์มีกระดูกสันหลังที่ได้จากการปรับปรุงพันธุ์แบบปรานีตเพื่อให้มีสวัสดิภาพสัตว์ที่เหมาะสม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https://bills.parliament.uk/bills/3167/publications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23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G/SPS/N/GBR/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อาหารใหม่ (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novel food),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สารแต่งกลิ่นรส (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flavouring),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 (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food additive)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ประกาศการอนุญาตให้ใช้ ดังนี้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อาหารใหม่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ชนิด ได้แก่ 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1.1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ผงวิตามิน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D2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จากเห็ด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Agaricus bisporus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ที่ผ่านการแปรรูปด้วยวิธีฉายรังสี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UV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เพื่อกระตุ้นให้เกิดการเปลี่ยนจากโปรวิตามิน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D2 (ergosterol)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เป็นวิตามิน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D2 (ergocalciferol)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โดยเป็นการอนุญาตให้ใช้ในอาหารและเครื่องดื่มหลายชนิด อาหารที่มีวัตถุประสงค์เฉพาะทางการแพทย์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FSMPs)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ยกเว้นอาหาร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FSMPs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ที่ใช้กับทารก) และผลิตภัณฑ์เสริมอาหาร (ยกเว้นผลิตภัณฑ์เสริมอาหารสำหรับทารกและเด็กที่มีอายุต่ำกว่า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ปี)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1.2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ผงยีสต์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Saccharomyces cerevisiae)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ฉายรังสี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UV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เพื่อขยายขอบข่ายการใช้งาน) โดยอนุญาตให้ใช้ได้ในอาหาร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FSMPs 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อาหารใหม่นี้ถูกกำหนดให้ต้องเป็นเชื้อตาย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inactivated)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ในกรณีที่ใช้ในสูตรอาหารทารกและเด็กอ่อน อาหารที่มีธัญพืชแปรรูปเป็นส่วนประกอบหลัก และอาหารที่มีวัตถุประสงค์เฉพาะทางการแพทย์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วัตถุปรุงแต่งกลิ่นและรสชาติ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ชนิด ได้แก่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3-(1-((3,5-dimethylisoxazol-4-yl)methyl)-1H-pyrazol-4-yl)-1-(3-hydroxybenzyl)imidazolidine-2,4-dione (FLNo 16.127)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โดยอนุญาตให้ใช้ที่ความบริสุทธิ์ร้อยละ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99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และกำหนดให้ใช้ได้ในอาหารสูงสุดที่ระหว่ง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4 - 10 mg/kg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แล้วแต่ประเภทของอาหาร เพื่อลดความขมของอาหาร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วัตถุเจือปนอาหาร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ชนิด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3.1 Rebaudioside M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โดยอนุญาตให้ใช้เป็นเอ็นไซม์ในการผลิต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steviol glycoside (E 960c)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https://www.legislation.gov.uk/uksi/2023/334/pdfs/uksi_20230334_en.pdf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สหราชอาณาจักร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G/SPS/N/GBR/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จัดทำการกำหนดค่า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Benzovindiflupyr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ในสินค้าเกษตรและอาหารของสหราชอาณาจักร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https://www.hse.gov.uk/pesticides/mrls/new-mrls.htm#_Search_for_evaluation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จอร์เจีย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G/SPS/N/GEO/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29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อาหารและอาหารสัตว์ที่ไม่ได้มีแหล่งที่มาจากสัตว์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จัดทำกฎระเบียบด้านการควบคุมความปลอดภัยของอาหารและอาหารสัตว์ที่ไม่ได้มีแหล่งที่มาจากสัตว์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food of non-animal origin/animal feed)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ณ จุดผ่านแดน มีรายละเอียดสำคัญดังนี้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กำหนดเงื่อนไขการนำเข้าสินค้าดังกล่าว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กำหนดรูปแบบและขั้นตอนในการดำเนินการนำเข้า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3.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กำหนดประเภทสินค้าและแหล่งที่มาที่ห้ามนำเข้า และข้อกำหนดเอกสารที่ต้องแสดงเพื่อประกอบการนำเข้า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/>
                <w:spacing w:val="-8"/>
                <w:sz w:val="28"/>
                <w:szCs w:val="28"/>
              </w:rPr>
            </w:pPr>
            <w:r w:rsidRPr="001D5E51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</w:rPr>
              <w:t xml:space="preserve">4. </w:t>
            </w:r>
            <w:r w:rsidRPr="001D5E51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>กำหนดวิธีการสุ่มตัวอย่าง และตรวจสอบ ณ จุดผ่านแดน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SPS/GEO/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09500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ฮอนดูรัส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G/SPS/N/HND/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พฤษภาคม 2566</w:t>
            </w:r>
          </w:p>
        </w:tc>
        <w:tc>
          <w:tcPr>
            <w:tcW w:w="2091" w:type="dxa"/>
          </w:tcPr>
          <w:p w:rsidR="001D5E51" w:rsidRPr="00BB2F41" w:rsidRDefault="001D5E51" w:rsidP="005D7FB3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การเฝ้าระวังและการควบคุมด้านสุขอนามัย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(Sanitary surveillance and control)</w:t>
            </w:r>
          </w:p>
        </w:tc>
        <w:tc>
          <w:tcPr>
            <w:tcW w:w="4713" w:type="dxa"/>
          </w:tcPr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ขยายระยะเวลารับข้อคิดเห็นต่อกฎระเบียบว่าด้วย องค์กร หน้าที่ และความรับผิดชอบของ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the National Directorate for Sanitary Surveillance and Control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1200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ประกาศข้อกำหนดของวัตถุเจือปนอาหารประเภท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non synthetic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และปรับรุงมาตรฐานและข้อกำหนดของวัตถุเจืิอปนอาหาร เช่น วิธีการทดสอบ เป็นต้น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09386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G/SPS/N/JPN/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1201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สินค้าพืช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ปรับปรุงขั้นตอนการยกเลิกการระงับการนำเข้าสินค้าพืชมายังญี่ปุ่นตามการกำหนดของกฎระเบียบ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Law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เลขที่ 151 ประจำปี 2493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SPS/JPN/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09580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G/SPS/N/KOR/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212/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เพิ่มรายการศัตรูพืชกักกันใหม่ 23 ชนิด ดังนี้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ศัตรูพืชต้องห่้าม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ชนิดได้แก่ แมลงวันผลไม้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Dacus ciliatus 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ศัตรูพืชควบคุม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22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ชนิด ได้แก่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2.1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ไวรัส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7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ชนิด ได้แก่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African cassava mosaic virus, Cassava brown streak virus, Cassava common mosaic virus, East African cassava mosaic virus,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Indian cassava mosaic virus, South African cassava mosaic virus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Ugandan cassava brown streak virus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2.2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แมลง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11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ชนิด ได้แก่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 xml:space="preserve">Chrysodeixis includens, Citripestis eutraphera, Acrosternum millierei, Aleurocanthus rugosa, Jakowleffia setulosa, Discochiton cocophyllae, Rhizoecus saintpauliae, Cryphalus piceae, Monochamus mutator, Lepisiota frauenfeldi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Acroceratitis histrionica</w:t>
            </w:r>
          </w:p>
          <w:p w:rsidR="001D5E51" w:rsidRPr="001D5E51" w:rsidRDefault="001D5E51" w:rsidP="005F0033">
            <w:pPr>
              <w:jc w:val="thaiDistribute"/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2.3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ไส้เดือนฝอย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Nematode) 1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ชนิด ได้แก่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Radopholus duriophilus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2.4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ไรแมงมุม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ชนิด ได้แก่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Tetranychus pueraricola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2.5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หอยทาก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ชนิด ได้แก่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Cepaea nemoralis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Oxychilus draparnaudi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https://members.wto.org/crnattachments/2023/SPS/KOR/23_09415_00_e.pdf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เกาหลีใต้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G/SPS/N/KOR/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779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สารกำจัดศัตรูพืชและยาสัตว์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จัดทำร่างการปรับปรุงกฎระเบียบด้านมาตรฐานและข้อกำหนดของอาหาร ดังนี้ 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87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ชนิด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กำหนดค่า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ของยาสัตว์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Diclazuril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ในไข่ไก่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SPS/KOR/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09383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703/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ไข่แปรรูป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แจ้งวันมีผลใช้บังคับมาตรฐานไข่แปรรูป วันที่ 26 เม.ย. 66</w:t>
            </w:r>
          </w:p>
          <w:p w:rsidR="001D5E51" w:rsidRPr="00CA563A" w:rsidRDefault="001D5E51" w:rsidP="001D5E5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เม.ย. 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นิวซีแลนด์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G/SPS/N/NZL/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722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ผักและผลไม้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ารปรับปรุงกฎณะเบียบเพื่อเพิ่มทางเลือกเกี่ยวมาตรการด้านสุขอนามัยพืชของสินค้าเกษตรจากออสเตรเรีย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1D5E5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D5E5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https://members.wto.org/crnattachments/2023/SPS/NZL/23_09608_00_e.pdf</w:t>
            </w:r>
          </w:p>
          <w:p w:rsidR="001D5E51" w:rsidRPr="001D5E51" w:rsidRDefault="001D5E51" w:rsidP="001D5E5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D5E5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https://members.wto.org/crnattachments/2023/SPS/NZL/23_09608_01_e.pdf</w:t>
            </w:r>
          </w:p>
          <w:p w:rsidR="001D5E51" w:rsidRPr="001D5E51" w:rsidRDefault="001D5E51" w:rsidP="001D5E5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D5E5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https://members.wto.org/crnattachments/2023/SPS/NZL/23_09608_02_e.pdf</w:t>
            </w:r>
          </w:p>
          <w:p w:rsidR="001D5E51" w:rsidRPr="001D5E51" w:rsidRDefault="001D5E51" w:rsidP="001D5E5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1D5E5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https://members.wto.org/crnattachments/2023/SPS/NZL/23_09608_03_e.pdf</w:t>
            </w:r>
          </w:p>
          <w:p w:rsidR="001D5E51" w:rsidRPr="00CA563A" w:rsidRDefault="001D5E51" w:rsidP="001D5E5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1D5E5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/2023/SPS/NZL/23_09608_04_e.pdf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ออสเตรเรีย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31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อารักขาพืช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พฤษภาคม 2566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 และผลิตภัณฑ์เนื้อโค แพะ แกะและอุฐ ทั้งแบบสด แช่เย็น แข่แข็ง รวมถึงผลิตภัณ์ดังกล่าวที่ผ่านการแปรรูป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ประกาศเกี่ยวกับการป้องกับโรคปากเท้าเปื่อย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Foot and Mouth Disease)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ประกาศยกเลิกการระงับการนำเข้าเนื้อ และผลิตภัณฑ์เนื้อโค แพะ แกะและอุฐ ทั้งแบบสด แช่เย็น แข่แข็ง รวมถึงผลิตภัณ์ดังกล่าวที่ผ่านการแปรรูป จาก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Orkhon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มองโกเลีย เนื่่องจากประกาศของ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ระบุว่าปลอดจากโรค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FMD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ในพื้นที่ดังกล่าว</w:t>
            </w:r>
          </w:p>
          <w:p w:rsidR="001D5E51" w:rsidRPr="00CA563A" w:rsidRDefault="001D5E51" w:rsidP="001D5E51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ประกาศระงับการนำเข้าเนื้อ และผลิตภัณฑ์เนื้อโค แพะ แกะและอุฐ ทั้งแบบสด แช่เย็น แข่แข็ง รวมถึงผลิตภัณ์ดังกล่าวที่ผ่านการแปรรูป จากเกาหลี ญี่ปุ่นชั่วคราว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เกาหลี ญี่ปุ่น มองโกเลีย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502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พฤษภาคม 2566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เนื้อโคและเนื้อแกะ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ประกาศคำสั่ง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FDA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ของซาอุดิอาระเบีย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Ref. No.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24451 ลงวันที่ 20 เม.ย. 66 เรื่อง ยกเลิกการระงับชั่วคราวสำหรับการนำเข้าเนื้อโคและเนื้อแกะที่มีแหล่งกำเนิดจากคูเวต เนื่องจาก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มีรายงานว่า คูเวตปลอดจากโรค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ปากและเท้าเปื่อย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Foot and Mouth Disease; FMD)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แล้ว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SPS/SAU/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9360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คูเวต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503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พฤษภาคม 2566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เนื้อสัตว์ปีก ไข่ไก่ และผลิตภัณฑ์จากสิ่งดังกล่าว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ประกาศยกเลิกการระงับการนำเข้าเนื้อสัตว์ปีก ไข่ไก่ และผลิตภัณฑ์จากสิ่งดังกล่าว จากพื้นที่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Gers Pyrénées-Atlantiques Landes Maine-et-Loire Vendée Loire-Atlantique Deux-Sèvres Morbihan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Ain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ฝรั่งเศส เนื่องจากรายงานของ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ระบุว่าปลอดจากเชื้อไข้หวัดนกในพื้นที่ดังกล่าว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SPS/SAU/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9376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ฝรั่งเศส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504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นื้อสัตว์ปีก ไข่ และผลิตภัณฑ์ดังกล่าว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ประกาศยกเลิกการชะลอการนำเข้าเนื้อสัตว์ปีก ไข่ และผลิตภัณฑ์ดังกล่าวที่มีแหล่งกำเนิดมาจาก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Wielkopolskie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Łódzkie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ประเทศโปแลนด์ มีผลบังคับใช้ตั้งแต่วันที่ 2 พ.ค. 66 เนื่ิองจากองค์การสุขภาพสัตว์โลกมีรายงานการปลอดโรคไข้หวัดนกจากพื้นที่ดังกล่าวแล้ว เมื่อวันที่ 14 เม.ย. 66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SPS/SAU/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9379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โปแลนด์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ซาอุดีอาระเบีย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G/SPS/N/SAU/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505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พฤษภาคม 2566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b/>
                <w:bCs/>
                <w:noProof/>
                <w:color w:val="000000"/>
                <w:sz w:val="28"/>
                <w:szCs w:val="28"/>
                <w:cs/>
              </w:rPr>
              <w:t>มาตรการฉุกเฉิน</w:t>
            </w:r>
            <w:r w:rsidRPr="003B76ED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เนื้อสัตว์ปีก ไข่ และผลิตภัณฑ์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ประกาศการระงับการนำเข้าชั่วคราวเนื้อสัตว์ปีก ไข่ และผลิตภัณฑ์ดังกล่าว ที่มีแหล่งกำเนิดจากเมือง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Corodoba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ของอาร์เจนตินา เนื่องจากองค์การสุขภาพสัตว์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WOAH)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รายงานพบการระบาดของโรคไข้หวัดนกสายพันธุ์รุนแรง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SPS/SAU/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09671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อาร์เจนตินา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12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267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คุ๊กกี้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จัดทำมาตรฐานแทนซาเนีย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15 (1601) เรื่องข้อกำหนดเฉพาะของคุ๊กกี้ ระบุถึงข้อกำหนด วิธีการสุ่มตัวอย่าง และการทดสอบคุ๊กกี้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09476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268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อาหาร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samosa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และ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spring rolls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แช่แข็ง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จัดทำมาตรฐานแทนซาเนีย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15 (773) เรื่องข้อกำหนดเฉพาะของอาหาร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samosa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spring rolls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แช่แข็ง ระบุถึงข้อกำหนด วิธีการสุ่มตัวอย่าง และการทดสอบผลิตภัณฑ์ดังกล่าวสำหรับแปรรูปเพื่อการบริโภคต่อไป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โดยมาตรฐานนี้จะมีผลต่อผลิตภัณฑ์ในรูปทรงต่างๆ เช่น ทรงจันทร์เสี้ยว สามเหลี่ยม หรือสี่เหลี่ยม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09477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269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เค๊ก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จัดทำมาตรฐานแทนซาเนีย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15 (1600) เรื่องข้อกำหนดเฉพาะของเค๊ก ระบุถึงข้อกำหนด วิธีการสุ่มตัวอย่าง และการทดสอบของผลิตภัณฑ์ดังกล่าวสำหรับการบริโภคของมนุษย์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09478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270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Half-Cake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จัดทำมาตรฐานแทนซาเนีย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15 (767) เรื่องข้อกำหนดเฉพาะของ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Half-cake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ระบุถึงข้อกำหนด วิธีการสุ่มตัวอย่าง และการทดสอบของผลิตภัณฑ์ดังกล่าวสำหรับการบริโภคของมนุษย์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09479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271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แป้งอัลมอนด์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จัดทำมาตรฐานแทนซานีย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19 (1706) เรื่องข้อกำหนดเฉพาะของแป้งอัลมอนด์ ระบุข้อกำหนดเฉพาะ วิธีการสุ่มตัวย่างและทดสอบสินค้าดังกล่าวที่ได้จากพืช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Prunus amygdalus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และผลิตเพื่อการบริโภคของมนุษย์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09535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272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อาหารฮาลาล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จัดทำมาตรฐานแทนซานีย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 (1867) เรื่องข้อกำหนดทั่วไปของอาหารฮาลาล ระบุข้อกำหนดทั่วไปสำหรับอุตสาหกรรมฮาลาล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โดยมาตรฐานฉบับนี้ยังไม่ได้กำหนดมาตรฐานทั้งหมดของอาหารฮาลาล  ซึ่งอาจต้องหารือกับหน่วยงาน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Competent Authority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ของแทนซาเนียเกี่ยวกับการรับรองฮาลาล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09536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273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เม็ดเฮเซลนัททั้งแบบดิบและแบบคั่ว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จัดทำมาตรฐานแทนซานีย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19 (1716) เรื่องข้อกำหนดเฉพาะของเม็ดเฮเซลนัททั้งแบบดิบและแบบคั่ว ระบุข้อกำหนดเฉพาะ วิธีการสุ่มตัวย่างและทดสอบสินค้าดังกล่าวที่ได้จากพืช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Corylus avellana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และผลิตเพื่อการบริโภคของมนุษย์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09537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แทนซาเนีย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G/SPS/N/TZA/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274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ถั่วดิบ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Raw Brazil nut kernels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จัดทำมาตรฐานแทนซานีย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AFDC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19 (1707) เรื่องข้อกำหนดเฉพาะของเม็ดบราซิลนัตดิบ ระบุข้อกำหนดเฉพาะ วิธีการสุ่มตัวย่างและทดสอบสินค้าดังกล่าวที่ได้จากพืช </w:t>
            </w:r>
            <w:r w:rsidRPr="001D5E51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Bertholletia excelsa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และผลิตเพื่อการบริโภคของมนุษย์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SPS/TZA/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09538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G/SPS/N/UKR/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157/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Rev.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องุ่นและผลิตภัณฑ์ ไวน์องุ่น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ปรับปรุงข้อกำหนดการผลิตองุ่นและผลิตภัณฑ์องุ่น เช่น ข้อกำหนดและนิยาม การแบ่งชนิดขององุ่น การกำหนดหลักการตรวจสอบการผลิตไวน์องุ่นจากแปลงปลูกจนถึงผลิตภัณฑ์สุดท้าย เป็นต้น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https://itd.rada.gov.ua/billInfo/Bills/Card/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41624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https://members.wto.org/crnattachments/2023/SPS/UKR/23_09428_00_x.pdf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/2023/SPS/UKR/23_09428_01_x.pdf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59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G/SPS/N/UKR/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201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ไข่ฟักและลูกไก่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จัดทำร่างกฎระเบียบของยูเครนว่าด้วยข้อกำหนดของไข่ฟักและลูกไก่ โดยมีข้อกำหนดในประเด็นดังนี้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การปั้มตราและการใช้ไข่ฟัก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บรรจุภัณฑ์ไข่ฟัก และบรรจุภัณฑ์สำหรับขนส่งลูกไก่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การติดฉลากบนบรรจุภัณฑ์ไข่ฟักและบรรจุภัณฑ์สำหรับขนส่งลูกไก่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การเก็บรักษาข้อมูลโดยผู้ประกอบการ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ั้งนี้ผลิตภัณฑ์ดังกล่าวที่นำเข้ามาจากต่างประเทศจะต้องดำเนินการตามข้อกำหนดในกฎระเบียบของยูเครนว่าด้วย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 xml:space="preserve">การนำเข้าสัตว์มีชีวิต และวัสดุขยายพันธุ์สัตว์ที่ปรากฎใน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Order  of  the Ministry of Agrarian Policy and Food of Ukraine No. 553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ลงวันที่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16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พ.ย. 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61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SPS/UKR/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09494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https://members.wto.org/crnattachments/2023/SPS/UKR/23_09494_01_x.pdf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lastRenderedPageBreak/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60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G/SPS/N/UKR/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202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สัตว์ในฟาร์ม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กำหนดให้มีข้อกำหนดด้านสวัสดิภาพสำหรั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บการขนส่งสัตว์ในฟาร์ม ผึ้งและผึ</w:t>
            </w:r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้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ง</w:t>
            </w:r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หึ่ง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bumblebees) 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ตลอดจนกิจกรรมที่เกี่ยวข้อง รวมถึงการขน การขนถ่ายลง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reloading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และการหยุดพักในจุดที่พัก ตามข้อกำหนดของกฎระเบียบของสหภาพยุโรปที่บังคับใช้ในขอบเขตนี้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SPS/UKR/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09495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สุขภาพสัตว์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61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ยูเครน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G/SPS/N/UKR/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203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ฮ๊อปและผลิตภัณฑ์ฮ๊อป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จัดทำร่างกฎระเบียบของยูเครนระบุถึงแนวทางและข้อกำหนดสำหรับฮ๊อปและผลิตภัณฑ์ฮ๊อปในตลาด ข้อกำหนดสำหรับการผลิต การแปรรูป การติดฉลาก ข้อกำหนดการประเมินความสอดคล้องการความเท่าเทียมกันสำหรับสินค้าฮ๊อปนำเข้าจากประเทศที่สามตามข้อกำหนดของสหภาพยุโรป และการออกใบรับรอง รวมถึงหน้าที่และสิทธิ์ของผู้ประกอบการในอุตสาหกรรมและเจ้าหน้าที่รัฐในด้านอุตสาหกรรมของผลิตภัณฑ์ดังกล่าว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SPS/UKR/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09502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_x.pdf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62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3380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ประกาศคำร้องขอจัดทำหรือปรับแก้กฎระเบียบสำหรับค่า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สารป้องกันกำจัดเชื้อราและสารกำจัดแมลง ที่มีส่วนประกอบของสารสกัดจากลูกยอและใบยอ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Morinda citrifolia) </w:t>
            </w:r>
          </w:p>
          <w:p w:rsidR="001D5E51" w:rsidRPr="00BB2F41" w:rsidRDefault="001D5E51" w:rsidP="005F0033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สารป้องกันกำจัดเชื้อราและสารควบคุมพืชที่มีส่วนประกอบของ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COS-OGA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สารป้องกันกำจัดเชื้อรา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Ipflufenoquin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https://www.govinfo.gov/content/pkg/FR-2023-04-24/html/2023-08621.htm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24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63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3381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ไก่สำหรับยัดใส้ขนมปังที่ยังไม่ผ่านการปรุงสุก (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Not-Ready-To-Eat Breaded Stuffed Chicken Products)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ประกาศปรับปรุงกฎระเบียบการกำหนดให้การตรวจพบเชื้อ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Samonella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ที่พบจำนวน 1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CFU/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กรัมขึ้นไปของผลิตภัณฑ์ไก่สำหรับยัดใส้ขนมปังที่ยังไม่ผ่านการปรุงสุก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Not-Ready-To-Eat Breaded Stuffed Chicken Products)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ถือว่าเป็นการปนเปื้อนที่ไม่พึงประสงค์ รวมถึงขั้นตอนการตรวจสอบหาค่าดังกล่าว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SPS/USA/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9355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64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3382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สารแต่งสีในอาหาร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คำร้องขอให้ยกเลิกการอนุญาตให้ใช้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titanium dioxide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ในอาหาร ของกฎระเบียบการใชสีเจือปนอาหาร (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Color additive)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https://members.wto.org/crnattachments/2023/SPS/USA/23_09503_00_e.pdf</w:t>
            </w:r>
          </w:p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65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3383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ประกาศการกำหนดค่า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Fomesafen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ในผลผลิตทางการเกษตรหลายชนิด เช่น ผักบริโภคหัว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Vegetable, bulb, group 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3-07) ผักกลุ่มฟักทอง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Vegetable, cucurbit, group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9) ผักบริโภคผล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Vegetable, fruiting, group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8-10) ถั่ว (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Vegetable, legume, forage and hay, except soybean, subgroup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7-22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A)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https://www.govinfo.gov/content/pkg/FR-2023-05-09/html/2023-09819.htm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9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3384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ประกาศการกำหนดค่า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Cyflufenamid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sugar beet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 0.15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ppm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https://www.govinfo.gov/content/pkg/FR-2023-05-10/html/2023-09872.htm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10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67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3385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ประกาศเปิดรับข้อคิดเห็นในคำร้องของหน่วยงานที่เกี่ยวข้องในการปรับปรุงค่า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ของสารกำจัดศัตรูพืชหลายชนิดในสินค้าเกษตรและอาหาร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2023-04-25/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2023-08690.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  <w:tr w:rsidR="001D5E51" w:rsidRPr="00CA563A" w:rsidTr="00A064C6">
        <w:trPr>
          <w:trHeight w:val="340"/>
          <w:jc w:val="center"/>
        </w:trPr>
        <w:tc>
          <w:tcPr>
            <w:tcW w:w="568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68</w:t>
            </w:r>
            <w:r w:rsidRPr="00CA563A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3006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G/SPS/N/USA/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3386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 พฤษภาคม 2566</w:t>
            </w:r>
          </w:p>
        </w:tc>
        <w:tc>
          <w:tcPr>
            <w:tcW w:w="2091" w:type="dxa"/>
          </w:tcPr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สารกำจัดศัตรูพืช</w:t>
            </w:r>
          </w:p>
          <w:p w:rsidR="001D5E51" w:rsidRPr="00CA563A" w:rsidRDefault="001D5E51" w:rsidP="00366D9B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D5E51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ประกาศการกำหนดค่า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MRLs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ของสารกำจัดศัตรูพืช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Fluazifop-P-butyl 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ในสินค้าเกษตรและอาหารหลากหลายชนิด เช่น กล้วย ส้ม มะละกอ นม ไข่ไก่ เป็นต้น</w:t>
            </w:r>
          </w:p>
          <w:p w:rsidR="001D5E51" w:rsidRPr="00CA563A" w:rsidRDefault="001D5E51" w:rsidP="00366D9B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1D5E51" w:rsidRPr="001D5E51" w:rsidRDefault="001D5E51" w:rsidP="00366D9B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https://www.govinfo.gov/content/pkg/FR-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2023-04-27/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html/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2023-08939.</w:t>
            </w:r>
            <w:r w:rsidRPr="00BB2F41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htm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ประเทศคู่ค้า</w:t>
            </w:r>
          </w:p>
        </w:tc>
        <w:tc>
          <w:tcPr>
            <w:tcW w:w="1163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27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</w:tcPr>
          <w:p w:rsidR="001D5E51" w:rsidRPr="00CA563A" w:rsidRDefault="001D5E51" w:rsidP="00366D9B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BB2F41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ความปลอดภัยอาหาร</w:t>
            </w:r>
          </w:p>
        </w:tc>
      </w:tr>
    </w:tbl>
    <w:p w:rsidR="001D5E51" w:rsidRPr="00CA563A" w:rsidRDefault="001D5E51" w:rsidP="00AF08F6">
      <w:pPr>
        <w:spacing w:before="120"/>
        <w:rPr>
          <w:rFonts w:ascii="TH Baijam" w:hAnsi="TH Baijam" w:cs="TH Baijam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D5E51" w:rsidRPr="00CA563A" w:rsidRDefault="001D5E51" w:rsidP="00AF08F6">
      <w:pPr>
        <w:spacing w:before="120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b/>
          <w:bCs/>
          <w:color w:val="000000"/>
          <w:sz w:val="28"/>
          <w:szCs w:val="28"/>
          <w:cs/>
        </w:rPr>
        <w:lastRenderedPageBreak/>
        <w:t>หมายเหตุ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: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* คือ มาตรการที่อาจมีผลกระทบต่อการค้าของไทยกับประเทศคู่ค้า</w:t>
      </w:r>
    </w:p>
    <w:p w:rsidR="001D5E51" w:rsidRPr="00CA563A" w:rsidRDefault="001D5E51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8B5F87" wp14:editId="1711A2AD">
            <wp:simplePos x="0" y="0"/>
            <wp:positionH relativeFrom="column">
              <wp:posOffset>8776970</wp:posOffset>
            </wp:positionH>
            <wp:positionV relativeFrom="paragraph">
              <wp:posOffset>3810</wp:posOffset>
            </wp:positionV>
            <wp:extent cx="838200" cy="838200"/>
            <wp:effectExtent l="0" t="0" r="0" b="0"/>
            <wp:wrapSquare wrapText="bothSides"/>
            <wp:docPr id="5" name="Picture 5" descr="reques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uest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สามารถแจ้งข้อคิดเห็นให้ มกอช. ทราบล่วงหน้าก่อนสิ้นสุดระยะเวลาของการแสดงความเห็นผ่านทาง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 Email: spsthailand@gmail.com   </w:t>
      </w:r>
    </w:p>
    <w:p w:rsidR="001D5E51" w:rsidRPr="00CA563A" w:rsidRDefault="001D5E51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color w:val="000000"/>
          <w:sz w:val="28"/>
          <w:szCs w:val="28"/>
          <w:cs/>
        </w:rPr>
        <w:t>รายละเอียดเพิ่มเติม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 </w:t>
      </w:r>
      <w:hyperlink r:id="rId9" w:history="1">
        <w:r w:rsidRPr="00CA563A">
          <w:rPr>
            <w:rStyle w:val="Hyperlink"/>
            <w:rFonts w:ascii="TH Baijam" w:hAnsi="TH Baijam" w:cs="TH Baijam"/>
            <w:color w:val="000000"/>
            <w:sz w:val="28"/>
            <w:szCs w:val="28"/>
          </w:rPr>
          <w:t>http://docsonline.wto.org</w:t>
        </w:r>
      </w:hyperlink>
      <w:r w:rsidRPr="00CA563A">
        <w:rPr>
          <w:rFonts w:ascii="TH Baijam" w:hAnsi="TH Baijam" w:cs="TH Baijam"/>
          <w:color w:val="000000"/>
          <w:sz w:val="28"/>
          <w:szCs w:val="28"/>
        </w:rPr>
        <w:t xml:space="preserve">/ 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>หรือติดต่อกลุ่มความตกลงสุขอนามัยและสุขอนามัยพืช</w:t>
      </w:r>
      <w:r>
        <w:rPr>
          <w:rFonts w:ascii="TH Baijam" w:hAnsi="TH Baijam" w:cs="TH Baijam" w:hint="cs"/>
          <w:color w:val="000000"/>
          <w:sz w:val="28"/>
          <w:szCs w:val="28"/>
          <w:cs/>
        </w:rPr>
        <w:t>และอื่นๆ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โทร 02-561-2277 ต่อ 1348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, 1345  </w:t>
      </w:r>
    </w:p>
    <w:p w:rsidR="001D5E51" w:rsidRPr="00CA563A" w:rsidRDefault="001D5E51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สามารถขอเอกสารกฎระเบียบฉบับเต็มได้ที่  </w:t>
      </w:r>
      <w:r w:rsidRPr="00CA563A">
        <w:rPr>
          <w:rFonts w:ascii="TH Baijam" w:hAnsi="TH Baijam" w:cs="TH Baijam"/>
          <w:color w:val="000000"/>
          <w:sz w:val="28"/>
          <w:szCs w:val="28"/>
        </w:rPr>
        <w:t xml:space="preserve">https://goo.gl/forms/DLQjsCNov6YXscUq2 </w:t>
      </w:r>
      <w:r w:rsidRPr="00CA563A">
        <w:rPr>
          <w:rFonts w:ascii="TH Baijam" w:hAnsi="TH Baijam" w:cs="TH Baijam"/>
          <w:color w:val="000000"/>
          <w:sz w:val="28"/>
          <w:szCs w:val="28"/>
          <w:cs/>
        </w:rPr>
        <w:t xml:space="preserve"> หรือ </w:t>
      </w:r>
      <w:r w:rsidRPr="00CA563A">
        <w:rPr>
          <w:rFonts w:ascii="TH Baijam" w:hAnsi="TH Baijam" w:cs="TH Baijam"/>
          <w:color w:val="000000"/>
          <w:sz w:val="28"/>
          <w:szCs w:val="28"/>
        </w:rPr>
        <w:t>QR Code</w:t>
      </w:r>
    </w:p>
    <w:p w:rsidR="001D5E51" w:rsidRPr="00CA563A" w:rsidRDefault="001D5E51" w:rsidP="00AF08F6">
      <w:pPr>
        <w:ind w:left="357"/>
        <w:rPr>
          <w:rFonts w:ascii="TH Baijam" w:hAnsi="TH Baijam" w:cs="TH Baijam"/>
          <w:color w:val="000000"/>
          <w:sz w:val="28"/>
          <w:szCs w:val="28"/>
        </w:rPr>
        <w:sectPr w:rsidR="001D5E51" w:rsidRPr="00CA563A" w:rsidSect="001D5E51">
          <w:footerReference w:type="default" r:id="rId10"/>
          <w:pgSz w:w="16838" w:h="11906" w:orient="landscape" w:code="9"/>
          <w:pgMar w:top="720" w:right="720" w:bottom="720" w:left="720" w:header="709" w:footer="709" w:gutter="0"/>
          <w:pgNumType w:start="1"/>
          <w:cols w:space="720"/>
          <w:docGrid w:linePitch="326"/>
        </w:sectPr>
      </w:pPr>
    </w:p>
    <w:p w:rsidR="001D5E51" w:rsidRPr="00CA563A" w:rsidRDefault="001D5E51" w:rsidP="00AF08F6">
      <w:pPr>
        <w:rPr>
          <w:rFonts w:ascii="TH Baijam" w:hAnsi="TH Baijam" w:cs="TH Baijam"/>
          <w:color w:val="000000"/>
          <w:sz w:val="28"/>
          <w:szCs w:val="28"/>
          <w:cs/>
        </w:rPr>
      </w:pPr>
    </w:p>
    <w:p w:rsidR="001D5E51" w:rsidRDefault="001D5E51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  <w:sectPr w:rsidR="001D5E51" w:rsidSect="00DD07D5">
          <w:type w:val="continuous"/>
          <w:pgSz w:w="16838" w:h="11906" w:orient="landscape" w:code="9"/>
          <w:pgMar w:top="1077" w:right="425" w:bottom="1077" w:left="907" w:header="709" w:footer="709" w:gutter="0"/>
          <w:pgNumType w:start="1"/>
          <w:cols w:space="720"/>
        </w:sectPr>
      </w:pPr>
    </w:p>
    <w:p w:rsidR="001D5E51" w:rsidRPr="00CA563A" w:rsidRDefault="001D5E51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</w:pPr>
    </w:p>
    <w:sectPr w:rsidR="001D5E51" w:rsidRPr="00CA563A" w:rsidSect="001D5E51">
      <w:type w:val="continuous"/>
      <w:pgSz w:w="16838" w:h="11906" w:orient="landscape" w:code="9"/>
      <w:pgMar w:top="1077" w:right="425" w:bottom="1077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6F6" w:rsidRDefault="006D16F6">
      <w:r>
        <w:separator/>
      </w:r>
    </w:p>
  </w:endnote>
  <w:endnote w:type="continuationSeparator" w:id="0">
    <w:p w:rsidR="006D16F6" w:rsidRDefault="006D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07768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1D5E51" w:rsidRPr="00054A14" w:rsidRDefault="001D5E51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\* 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>
          <w:rPr>
            <w:rFonts w:ascii="TH Baijam" w:hAnsi="TH Baijam" w:cs="TH Baijam"/>
            <w:noProof/>
            <w:sz w:val="28"/>
            <w:szCs w:val="28"/>
          </w:rPr>
          <w:t>25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1D5E51" w:rsidRDefault="001D5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6F6" w:rsidRDefault="006D16F6">
      <w:r>
        <w:separator/>
      </w:r>
    </w:p>
  </w:footnote>
  <w:footnote w:type="continuationSeparator" w:id="0">
    <w:p w:rsidR="006D16F6" w:rsidRDefault="006D1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7F8A"/>
    <w:multiLevelType w:val="hybridMultilevel"/>
    <w:tmpl w:val="D5B633EE"/>
    <w:lvl w:ilvl="0" w:tplc="CC0A135A">
      <w:numFmt w:val="bullet"/>
      <w:lvlText w:val=""/>
      <w:lvlJc w:val="left"/>
      <w:pPr>
        <w:ind w:left="1648" w:hanging="360"/>
      </w:pPr>
      <w:rPr>
        <w:rFonts w:ascii="Symbol" w:eastAsia="SimSu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7BA9439A"/>
    <w:multiLevelType w:val="multilevel"/>
    <w:tmpl w:val="470A9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B20B76"/>
    <w:multiLevelType w:val="multilevel"/>
    <w:tmpl w:val="E4005D6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E"/>
    <w:rsid w:val="000273D3"/>
    <w:rsid w:val="00070563"/>
    <w:rsid w:val="00072929"/>
    <w:rsid w:val="00085974"/>
    <w:rsid w:val="00091F47"/>
    <w:rsid w:val="000D7A34"/>
    <w:rsid w:val="001210DA"/>
    <w:rsid w:val="001745AE"/>
    <w:rsid w:val="00176E38"/>
    <w:rsid w:val="00191054"/>
    <w:rsid w:val="001D1B38"/>
    <w:rsid w:val="001D57B4"/>
    <w:rsid w:val="001D5E51"/>
    <w:rsid w:val="001E32D9"/>
    <w:rsid w:val="001F1CDE"/>
    <w:rsid w:val="00240F66"/>
    <w:rsid w:val="00256156"/>
    <w:rsid w:val="00257604"/>
    <w:rsid w:val="00267AAD"/>
    <w:rsid w:val="00292CB9"/>
    <w:rsid w:val="002956EE"/>
    <w:rsid w:val="002B70B9"/>
    <w:rsid w:val="00305F97"/>
    <w:rsid w:val="00317F24"/>
    <w:rsid w:val="0033078E"/>
    <w:rsid w:val="0036481F"/>
    <w:rsid w:val="00366D9B"/>
    <w:rsid w:val="003B76ED"/>
    <w:rsid w:val="003D236E"/>
    <w:rsid w:val="003F0052"/>
    <w:rsid w:val="00467177"/>
    <w:rsid w:val="004B09C4"/>
    <w:rsid w:val="004E71B2"/>
    <w:rsid w:val="004F13E7"/>
    <w:rsid w:val="00507C63"/>
    <w:rsid w:val="0053436C"/>
    <w:rsid w:val="00545966"/>
    <w:rsid w:val="00575F44"/>
    <w:rsid w:val="00595946"/>
    <w:rsid w:val="005C0666"/>
    <w:rsid w:val="005C07A1"/>
    <w:rsid w:val="005F0033"/>
    <w:rsid w:val="005F28A8"/>
    <w:rsid w:val="00626142"/>
    <w:rsid w:val="00635B36"/>
    <w:rsid w:val="00640765"/>
    <w:rsid w:val="00644C20"/>
    <w:rsid w:val="00662AD0"/>
    <w:rsid w:val="006A0C4E"/>
    <w:rsid w:val="006A7C61"/>
    <w:rsid w:val="006D16F6"/>
    <w:rsid w:val="006E6193"/>
    <w:rsid w:val="006F6C9F"/>
    <w:rsid w:val="007230CB"/>
    <w:rsid w:val="00731655"/>
    <w:rsid w:val="00764626"/>
    <w:rsid w:val="007647F1"/>
    <w:rsid w:val="007667B5"/>
    <w:rsid w:val="0077478A"/>
    <w:rsid w:val="007C7C2D"/>
    <w:rsid w:val="007F335F"/>
    <w:rsid w:val="00893666"/>
    <w:rsid w:val="0089504E"/>
    <w:rsid w:val="008C6468"/>
    <w:rsid w:val="008F0017"/>
    <w:rsid w:val="0090709C"/>
    <w:rsid w:val="009355F4"/>
    <w:rsid w:val="009669AA"/>
    <w:rsid w:val="00967CA7"/>
    <w:rsid w:val="0098679E"/>
    <w:rsid w:val="00993CDF"/>
    <w:rsid w:val="009B1819"/>
    <w:rsid w:val="009B7F21"/>
    <w:rsid w:val="009F6734"/>
    <w:rsid w:val="009F7188"/>
    <w:rsid w:val="00A064C6"/>
    <w:rsid w:val="00A17F9E"/>
    <w:rsid w:val="00A21054"/>
    <w:rsid w:val="00AA0B0F"/>
    <w:rsid w:val="00AA5350"/>
    <w:rsid w:val="00AC308B"/>
    <w:rsid w:val="00AC3F73"/>
    <w:rsid w:val="00AF08F6"/>
    <w:rsid w:val="00B11873"/>
    <w:rsid w:val="00B11EF9"/>
    <w:rsid w:val="00B17C93"/>
    <w:rsid w:val="00B31E8B"/>
    <w:rsid w:val="00B44D6A"/>
    <w:rsid w:val="00B70AFA"/>
    <w:rsid w:val="00B82521"/>
    <w:rsid w:val="00B94FED"/>
    <w:rsid w:val="00B964CF"/>
    <w:rsid w:val="00BD00AE"/>
    <w:rsid w:val="00BE5B6F"/>
    <w:rsid w:val="00C03376"/>
    <w:rsid w:val="00C06441"/>
    <w:rsid w:val="00C11746"/>
    <w:rsid w:val="00C47062"/>
    <w:rsid w:val="00C51B61"/>
    <w:rsid w:val="00CA5565"/>
    <w:rsid w:val="00CA563A"/>
    <w:rsid w:val="00CB3CA2"/>
    <w:rsid w:val="00CD228D"/>
    <w:rsid w:val="00CD2956"/>
    <w:rsid w:val="00CD699E"/>
    <w:rsid w:val="00D0068A"/>
    <w:rsid w:val="00D62CB2"/>
    <w:rsid w:val="00D941B5"/>
    <w:rsid w:val="00D97CF7"/>
    <w:rsid w:val="00DA0C20"/>
    <w:rsid w:val="00DB581F"/>
    <w:rsid w:val="00DD07D5"/>
    <w:rsid w:val="00DD4DB0"/>
    <w:rsid w:val="00DD6CFC"/>
    <w:rsid w:val="00DE3EF9"/>
    <w:rsid w:val="00DE60AD"/>
    <w:rsid w:val="00E52E40"/>
    <w:rsid w:val="00E572C4"/>
    <w:rsid w:val="00E577A4"/>
    <w:rsid w:val="00E925AF"/>
    <w:rsid w:val="00E93E39"/>
    <w:rsid w:val="00EB40EB"/>
    <w:rsid w:val="00EC26BE"/>
    <w:rsid w:val="00EE5A12"/>
    <w:rsid w:val="00F06F38"/>
    <w:rsid w:val="00F15ED3"/>
    <w:rsid w:val="00F533EB"/>
    <w:rsid w:val="00F615FA"/>
    <w:rsid w:val="00F84B00"/>
    <w:rsid w:val="00FA763A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A5F8"/>
  <w15:docId w15:val="{8508EB9F-5964-4EE6-AB0C-6677268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TH SarabunPSK" w:eastAsia="TH SarabunPSK" w:hAnsi="TH SarabunPSK" w:cs="TH SarabunPSK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TH SarabunPSK" w:eastAsia="TH SarabunPSK" w:hAnsi="TH SarabunPSK" w:cs="TH SarabunPSK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TH SarabunPSK" w:eastAsia="TH SarabunPSK" w:hAnsi="TH SarabunPSK" w:cs="TH SarabunPSK"/>
      <w:b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TH SarabunPSK" w:eastAsia="TH SarabunPSK" w:hAnsi="TH SarabunPSK" w:cs="TH SarabunPSK"/>
      <w:b/>
      <w:i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6" w:lineRule="auto"/>
      <w:outlineLvl w:val="4"/>
    </w:pPr>
    <w:rPr>
      <w:rFonts w:ascii="TH SarabunPSK" w:eastAsia="TH SarabunPSK" w:hAnsi="TH SarabunPSK" w:cs="TH SarabunPSK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TH SarabunPSK" w:eastAsia="TH SarabunPSK" w:hAnsi="TH SarabunPSK" w:cs="TH SarabunPSK"/>
      <w:i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TH SarabunPSK" w:eastAsia="TH SarabunPSK" w:hAnsi="TH SarabunPSK" w:cs="TH SarabunPSK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TH SarabunPSK" w:eastAsia="TH SarabunPSK" w:hAnsi="TH SarabunPSK" w:cs="TH SarabunPSK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0068A"/>
    <w:pPr>
      <w:ind w:left="720"/>
      <w:contextualSpacing/>
    </w:pPr>
    <w:rPr>
      <w:rFonts w:cs="Angsana New"/>
      <w:szCs w:val="30"/>
    </w:rPr>
  </w:style>
  <w:style w:type="character" w:styleId="Hyperlink">
    <w:name w:val="Hyperlink"/>
    <w:basedOn w:val="DefaultParagraphFont"/>
    <w:uiPriority w:val="9"/>
    <w:unhideWhenUsed/>
    <w:rsid w:val="00B1187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08F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F08F6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online.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370B-3775-4D22-BBE1-ECB4C91F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5157</Words>
  <Characters>29400</Characters>
  <Application>Microsoft Office Word</Application>
  <DocSecurity>0</DocSecurity>
  <Lines>245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uasuk</dc:creator>
  <cp:lastModifiedBy>D52VF42</cp:lastModifiedBy>
  <cp:revision>1</cp:revision>
  <cp:lastPrinted>2019-08-14T10:34:00Z</cp:lastPrinted>
  <dcterms:created xsi:type="dcterms:W3CDTF">2023-06-01T07:13:00Z</dcterms:created>
  <dcterms:modified xsi:type="dcterms:W3CDTF">2023-06-01T07:28:00Z</dcterms:modified>
</cp:coreProperties>
</file>